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通榆县党员电化教育中心（通榆县党员干部现 代化远程教育中心）2024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（一）指导各乡镇场的电教播放网络建设；</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（二）抓好放像机、 电视机配备，抓好党员电教活动室建设；</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（三）指导做好党员电教教材、光盘的引进、复制、下发、播放工作，建章建制，加强村级电教设施的管理；</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（四）结合实际，制作有地方特色的党员电教片，在电视台开办党建专栏，宣传全县党建工作成果、先进党组织和优秀党员的事迹；</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（五）在农民党员中开展科技传播教育活动；</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（六）利用现代网络技术，加强党建网站的建设与管理，更好的宣传党的方针政策；</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（七）负责农村党员干部现代远程教育工作规划的制定和实施，组织开展全县农村党员干部现代远程教育工作；</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（八）负责建立农村党员干部现代远程教育工作各项规章制度；</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（九）负责农村党员干部现代远程教育工作的情况汇报、经验总结和交流；</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（十）负责农村党员干部现代远程教育工作的文件、简报的起草、印发等日常事务工作；</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（十一）负责规划指导教学课件和党建电教片的柏摄制作，做好音像资料的收集、归档和发放工作；</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（十二）负责对全县基层党组织农村党员干部现代远程教育工作人员的管理和培训；</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（十三）负责对全县基层党组织农村党员干部现代远程教育接收站点（党员电教播放点）建设、管理和督促检查；</w:t>
      </w:r>
    </w:p>
    <w:p>
      <w:pPr>
        <w:keepNext w:val="0"/>
        <w:keepLines w:val="0"/>
        <w:pageBreakBefore w:val="0"/>
        <w:widowControl w:val="0"/>
        <w:kinsoku/>
        <w:wordWrap/>
        <w:overflowPunct/>
        <w:topLinePunct w:val="0"/>
        <w:autoSpaceDE/>
        <w:autoSpaceDN/>
        <w:bidi w:val="0"/>
        <w:adjustRightInd/>
        <w:snapToGrid/>
        <w:spacing w:before="195" w:line="576" w:lineRule="exact"/>
        <w:ind w:left="629"/>
        <w:textAlignment w:val="auto"/>
        <w:rPr>
          <w:rFonts w:ascii="仿宋" w:hAnsi="仿宋" w:eastAsia="仿宋" w:cs="仿宋"/>
          <w:spacing w:val="5"/>
          <w:sz w:val="31"/>
          <w:szCs w:val="31"/>
        </w:rPr>
      </w:pPr>
      <w:r>
        <w:rPr>
          <w:rFonts w:ascii="仿宋" w:hAnsi="仿宋" w:eastAsia="仿宋" w:cs="仿宋"/>
          <w:spacing w:val="5"/>
          <w:sz w:val="31"/>
          <w:szCs w:val="31"/>
        </w:rPr>
        <w:t>（十四）负责组织协调远程教育相关部门，使相关部门各司其职，形成合力，共同抓好农村党员干部现代远程教育工作。</w:t>
      </w:r>
    </w:p>
    <w:p>
      <w:pPr>
        <w:spacing w:before="101" w:line="225" w:lineRule="auto"/>
        <w:ind w:left="642"/>
        <w:rPr>
          <w:rFonts w:ascii="楷体" w:hAnsi="楷体" w:eastAsia="楷体" w:cs="楷体"/>
          <w:spacing w:val="7"/>
          <w:sz w:val="31"/>
          <w:szCs w:val="31"/>
        </w:rPr>
      </w:pPr>
      <w:r>
        <w:rPr>
          <w:rFonts w:ascii="楷体" w:hAnsi="楷体" w:eastAsia="楷体" w:cs="楷体"/>
          <w:spacing w:val="7"/>
          <w:sz w:val="31"/>
          <w:szCs w:val="31"/>
        </w:rPr>
        <w:t>二、机构设置</w:t>
      </w:r>
    </w:p>
    <w:p>
      <w:pPr>
        <w:keepNext w:val="0"/>
        <w:keepLines w:val="0"/>
        <w:pageBreakBefore w:val="0"/>
        <w:widowControl w:val="0"/>
        <w:kinsoku/>
        <w:wordWrap/>
        <w:overflowPunct/>
        <w:topLinePunct w:val="0"/>
        <w:autoSpaceDE/>
        <w:autoSpaceDN/>
        <w:bidi w:val="0"/>
        <w:adjustRightInd/>
        <w:snapToGrid/>
        <w:spacing w:before="195" w:line="576" w:lineRule="exact"/>
        <w:ind w:left="629" w:firstLine="640" w:firstLineChars="200"/>
        <w:textAlignment w:val="auto"/>
        <w:rPr>
          <w:rFonts w:ascii="仿宋" w:hAnsi="仿宋" w:eastAsia="仿宋" w:cs="仿宋"/>
          <w:spacing w:val="5"/>
          <w:sz w:val="31"/>
          <w:szCs w:val="31"/>
        </w:rPr>
      </w:pPr>
      <w:r>
        <w:rPr>
          <w:rFonts w:ascii="仿宋" w:hAnsi="仿宋" w:eastAsia="仿宋" w:cs="仿宋"/>
          <w:spacing w:val="5"/>
          <w:sz w:val="31"/>
          <w:szCs w:val="31"/>
        </w:rPr>
        <w:t>根据上述职责，通榆县党员电化教育中心（通榆县党员干部现代化远程教育中心）内设0个机构。下设0家预算单位。</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49.10</w:t>
            </w:r>
          </w:p>
        </w:tc>
        <w:tc>
          <w:tcPr>
            <w:tcW w:w="1073" w:type="dxa"/>
            <w:tcBorders>
              <w:top w:val="nil"/>
              <w:left w:val="nil"/>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49.10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37.87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37.87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49.10</w:t>
            </w:r>
          </w:p>
        </w:tc>
        <w:tc>
          <w:tcPr>
            <w:tcW w:w="1073" w:type="dxa"/>
            <w:tcBorders>
              <w:top w:val="nil"/>
              <w:left w:val="nil"/>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49.10</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5.73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3.47</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3.47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2.04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49.10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49.10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82" w:type="dxa"/>
            <w:gridSpan w:val="2"/>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　通榆县党员电化教育中心（通榆县党员干部现代化远程教育中心）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49.10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49.10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49.10</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一、</w:t>
                  </w:r>
                  <w:r>
                    <w:rPr>
                      <w:rFonts w:hint="eastAsia" w:ascii="宋体" w:hAnsi="宋体" w:eastAsia="宋体" w:cs="宋体"/>
                      <w:color w:val="000000"/>
                      <w:sz w:val="22"/>
                      <w:szCs w:val="22"/>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rPr>
                    <w:t>　组织事务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二、</w:t>
                  </w:r>
                  <w:r>
                    <w:rPr>
                      <w:rFonts w:hint="eastAsia" w:ascii="宋体" w:hAnsi="宋体" w:eastAsia="宋体" w:cs="宋体"/>
                      <w:color w:val="000000"/>
                      <w:sz w:val="22"/>
                      <w:szCs w:val="22"/>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三、</w:t>
                  </w:r>
                  <w:r>
                    <w:rPr>
                      <w:rFonts w:hint="eastAsia" w:ascii="宋体" w:hAnsi="宋体" w:eastAsia="宋体" w:cs="宋体"/>
                      <w:color w:val="000000"/>
                      <w:sz w:val="22"/>
                      <w:szCs w:val="22"/>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四、</w:t>
                  </w:r>
                  <w:r>
                    <w:rPr>
                      <w:rFonts w:hint="eastAsia" w:ascii="宋体" w:hAnsi="宋体" w:eastAsia="宋体" w:cs="宋体"/>
                      <w:color w:val="000000"/>
                      <w:sz w:val="22"/>
                      <w:szCs w:val="22"/>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49.10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49.10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37.87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37.87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49.10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49.10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5.73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5.73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3.47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3.47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49.10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49.10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49.10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49.10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49.10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49.10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宋体"/>
                      <w:color w:val="000000"/>
                      <w:sz w:val="24"/>
                      <w:szCs w:val="24"/>
                      <w:lang w:val="en-US" w:eastAsia="zh-CN"/>
                    </w:rPr>
                    <w:t>一、</w:t>
                  </w:r>
                  <w:r>
                    <w:rPr>
                      <w:rFonts w:hint="eastAsia" w:ascii="Verdana" w:hAnsi="Verdana" w:eastAsia="Verdana"/>
                      <w:color w:val="000000"/>
                      <w:sz w:val="24"/>
                      <w:szCs w:val="24"/>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7.26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组织事务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7.26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37.87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7.26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宋体"/>
                      <w:color w:val="000000"/>
                      <w:sz w:val="24"/>
                      <w:szCs w:val="24"/>
                      <w:lang w:val="en-US" w:eastAsia="zh-CN"/>
                    </w:rPr>
                    <w:t>二、</w:t>
                  </w:r>
                  <w:r>
                    <w:rPr>
                      <w:rFonts w:hint="eastAsia" w:ascii="Verdana" w:hAnsi="Verdana" w:eastAsia="Verdana"/>
                      <w:color w:val="000000"/>
                      <w:sz w:val="24"/>
                      <w:szCs w:val="24"/>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宋体"/>
                      <w:color w:val="000000"/>
                      <w:sz w:val="24"/>
                      <w:szCs w:val="24"/>
                      <w:lang w:val="en-US" w:eastAsia="zh-CN"/>
                    </w:rPr>
                    <w:t>三、</w:t>
                  </w:r>
                  <w:r>
                    <w:rPr>
                      <w:rFonts w:hint="eastAsia" w:ascii="Verdana" w:hAnsi="Verdana" w:eastAsia="Verdana"/>
                      <w:color w:val="000000"/>
                      <w:sz w:val="24"/>
                      <w:szCs w:val="24"/>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宋体"/>
                      <w:color w:val="000000"/>
                      <w:sz w:val="24"/>
                      <w:szCs w:val="24"/>
                      <w:lang w:val="en-US" w:eastAsia="zh-CN"/>
                    </w:rPr>
                    <w:t>四、</w:t>
                  </w:r>
                  <w:r>
                    <w:rPr>
                      <w:rFonts w:hint="eastAsia" w:ascii="Verdana" w:hAnsi="Verdana" w:eastAsia="Verdana"/>
                      <w:color w:val="000000"/>
                      <w:sz w:val="24"/>
                      <w:szCs w:val="24"/>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49.10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49.10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41.84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7.26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95"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lang w:val="en-US" w:eastAsia="zh-CN"/>
              </w:rPr>
              <w:t>41.84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13.37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13.37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11.13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11.13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5.69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5.69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3.47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0.42</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0.42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7.26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7.26</w:t>
            </w:r>
          </w:p>
        </w:tc>
      </w:tr>
      <w:tr>
        <w:tblPrEx>
          <w:tblCellMar>
            <w:top w:w="0" w:type="dxa"/>
            <w:left w:w="108" w:type="dxa"/>
            <w:bottom w:w="0" w:type="dxa"/>
            <w:right w:w="108" w:type="dxa"/>
          </w:tblCellMar>
        </w:tblPrEx>
        <w:trPr>
          <w:trHeight w:val="49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3.50</w:t>
            </w: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0.50</w:t>
            </w:r>
          </w:p>
        </w:tc>
      </w:tr>
      <w:tr>
        <w:tblPrEx>
          <w:tblCellMar>
            <w:top w:w="0" w:type="dxa"/>
            <w:left w:w="108" w:type="dxa"/>
            <w:bottom w:w="0" w:type="dxa"/>
            <w:right w:w="108" w:type="dxa"/>
          </w:tblCellMar>
        </w:tblPrEx>
        <w:trPr>
          <w:trHeight w:val="50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0.20</w:t>
            </w:r>
          </w:p>
        </w:tc>
      </w:tr>
      <w:tr>
        <w:tblPrEx>
          <w:tblCellMar>
            <w:top w:w="0" w:type="dxa"/>
            <w:left w:w="108" w:type="dxa"/>
            <w:bottom w:w="0" w:type="dxa"/>
            <w:right w:w="108" w:type="dxa"/>
          </w:tblCellMar>
        </w:tblPrEx>
        <w:trPr>
          <w:trHeight w:val="40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0.20</w:t>
            </w: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2.46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2.46</w:t>
            </w:r>
          </w:p>
        </w:tc>
      </w:tr>
      <w:tr>
        <w:tblPrEx>
          <w:tblCellMar>
            <w:top w:w="0" w:type="dxa"/>
            <w:left w:w="108" w:type="dxa"/>
            <w:bottom w:w="0" w:type="dxa"/>
            <w:right w:w="108" w:type="dxa"/>
          </w:tblCellMar>
        </w:tblPrEx>
        <w:trPr>
          <w:trHeight w:val="45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0.40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0.40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4</w:t>
            </w:r>
            <w:r>
              <w:rPr>
                <w:color w:val="000000"/>
                <w:kern w:val="0"/>
                <w:sz w:val="28"/>
                <w:szCs w:val="28"/>
              </w:rPr>
              <w:t>人，其中：在职人员</w:t>
            </w:r>
            <w:r>
              <w:rPr>
                <w:rFonts w:hint="eastAsia" w:eastAsia="宋体"/>
                <w:color w:val="000000"/>
                <w:kern w:val="0"/>
                <w:sz w:val="28"/>
                <w:szCs w:val="28"/>
                <w:u w:val="single"/>
                <w:lang w:val="en-US" w:eastAsia="zh-CN"/>
              </w:rPr>
              <w:t>4</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49.10万元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37.87万元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2.04万元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5.73万元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3.47万元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49.10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49.10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12.37</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人员福利待遇调整</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49.10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49.10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49.10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49.10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49.10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49.10</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37.87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5.73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2.04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3.47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49.10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49.10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41.84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85.21</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7.26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14.79</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37.87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77.13</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单位人员工资发放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3.47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7.1</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单位人员养老保险缴纳</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5.73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11.67</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三维人员住房公积金缴纳</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49.10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41.84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7.26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kern w:val="0"/>
          <w:szCs w:val="32"/>
          <w:lang w:val="en-US" w:eastAsia="zh-CN"/>
        </w:rPr>
        <w:t>咨询费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本部门无一般公共预算拨款。</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本部门无国有资本经营预算拨款。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本部门无</w:t>
      </w:r>
      <w:r>
        <w:rPr>
          <w:rFonts w:hint="eastAsia" w:ascii="仿宋_GB2312" w:hAnsi="仿宋_GB2312" w:cs="仿宋_GB2312"/>
          <w:lang w:val="en-US" w:eastAsia="zh-CN"/>
        </w:rPr>
        <w:t>其他重要事项</w:t>
      </w:r>
      <w:r>
        <w:rPr>
          <w:rFonts w:hint="eastAsia" w:ascii="仿宋_GB2312" w:hAnsi="仿宋_GB2312" w:eastAsia="仿宋_GB2312" w:cs="仿宋_GB2312"/>
        </w:rPr>
        <w:t>。</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86"/>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0OGVmZmU5ZjAwYjFjODk4NDQwZjE4OWI3ZWZmNWY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2554FF"/>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87C1A86"/>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11</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远(Intro)</cp:lastModifiedBy>
  <cp:lastPrinted>2022-02-21T08:08:00Z</cp:lastPrinted>
  <dcterms:modified xsi:type="dcterms:W3CDTF">2024-02-04T14:46:42Z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